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C27B898" w:rsidR="00D6147A" w:rsidRDefault="00AF70F1" w:rsidP="00AF70F1">
      <w:hyperlink r:id="rId6" w:history="1">
        <w:r w:rsidRPr="00000E29">
          <w:rPr>
            <w:rStyle w:val="Collegamentoipertestuale"/>
          </w:rPr>
          <w:t>https://www.borsaitaliana.it/borsa/notizie/teleborsa/finanza/gota-intesa-sanpaolo-fondi-digitali-sono-uno-sviluppo-che-nostra-industria-deve-perseguire-151_2025-02-14_TLB.html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31D"/>
    <w:rsid w:val="007E6A60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gota-intesa-sanpaolo-fondi-digitali-sono-uno-sviluppo-che-nostra-industria-deve-perseguire-151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2025-02-19T15:54:00Z</dcterms:created>
  <dcterms:modified xsi:type="dcterms:W3CDTF">2025-02-19T15:55:00Z</dcterms:modified>
</cp:coreProperties>
</file>